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附件1</w:t>
      </w:r>
    </w:p>
    <w:p>
      <w:pPr>
        <w:spacing w:after="312" w:afterLines="100" w:line="36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</w:rPr>
        <w:t>内蒙古石油和化学工业协会团体标准项目建议书</w:t>
      </w:r>
      <w:bookmarkEnd w:id="0"/>
    </w:p>
    <w:tbl>
      <w:tblPr>
        <w:tblStyle w:val="3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项目名称(中文)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项目名称(英文)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制定或修订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□制定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cr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□修订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被修订标准号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采用国际标准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□无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ISO □IEC  □ITU □ISO/IEC □ISO确认的标准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采标号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标准类别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ICS分类号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申报单位</w:t>
            </w:r>
          </w:p>
        </w:tc>
        <w:tc>
          <w:tcPr>
            <w:tcW w:w="604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计划起始年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完成年限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目的﹑意义或必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要性</w:t>
            </w:r>
          </w:p>
        </w:tc>
        <w:tc>
          <w:tcPr>
            <w:tcW w:w="604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范围和主要技术内容</w:t>
            </w:r>
          </w:p>
        </w:tc>
        <w:tc>
          <w:tcPr>
            <w:tcW w:w="604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国内外情况简要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说明</w:t>
            </w:r>
          </w:p>
        </w:tc>
        <w:tc>
          <w:tcPr>
            <w:tcW w:w="604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项目成本预算</w:t>
            </w:r>
          </w:p>
        </w:tc>
        <w:tc>
          <w:tcPr>
            <w:tcW w:w="6044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272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申报单位（公章）：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日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ind w:right="-86" w:rightChars="-41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内蒙古石油和化学工业协会（公章）：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680" w:firstLineChars="7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日</w:t>
            </w:r>
          </w:p>
        </w:tc>
      </w:tr>
    </w:tbl>
    <w:p>
      <w:pPr>
        <w:spacing w:line="560" w:lineRule="exact"/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填写说明：</w:t>
      </w:r>
    </w:p>
    <w:p>
      <w:pPr>
        <w:spacing w:line="560" w:lineRule="exact"/>
        <w:ind w:left="239" w:leftChars="114" w:firstLine="246" w:firstLineChars="77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非必填项说明:采用国际标准为“无”时， “采标号”无需填写；</w:t>
      </w:r>
    </w:p>
    <w:p>
      <w:pPr>
        <w:spacing w:line="560" w:lineRule="exact"/>
        <w:ind w:left="319" w:leftChars="152" w:firstLine="240" w:firstLineChars="75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修订标准必填被修订标准号，多个被修订标准号之间用半角逗号“,”分隔；</w:t>
      </w:r>
    </w:p>
    <w:p>
      <w:pPr>
        <w:spacing w:line="560" w:lineRule="exact"/>
        <w:ind w:left="319" w:leftChars="152" w:firstLine="240" w:firstLineChars="75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如采用国际标准，先选择组织名称，再填采标号及一致性程度标识，多个采标号之间用半角逗号“,”分隔；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44" w:firstLineChars="17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目的、意义或必要性：指出标准项目涉及的方面，期望解决的问题；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9" w:leftChars="114" w:firstLine="320" w:firstLineChars="1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范围与技术内容：标准的适用范围与技术内容；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9" w:leftChars="114" w:firstLine="320" w:firstLineChars="1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国内外情况简要说明：</w:t>
      </w:r>
    </w:p>
    <w:p>
      <w:pPr>
        <w:spacing w:line="560" w:lineRule="exact"/>
        <w:ind w:left="319" w:leftChars="152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1）国内外对该技术研究情况简要说明：国内外对该技术研究情况、进程及未来的发展；该技术是否相对稳定，如果不是的话，预计一下技术未来稳定的时间，提出的标准项目是否可作为未来技术发展的基础；</w:t>
      </w:r>
    </w:p>
    <w:p>
      <w:pPr>
        <w:spacing w:line="560" w:lineRule="exact"/>
        <w:ind w:left="319" w:leftChars="152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2）项目与国际标准或国外先进标准采用程度的考虑：该标准项目是否有对应的国际标准或国外先进标准，标准制定过程中如何考虑采用的问题；</w:t>
      </w:r>
    </w:p>
    <w:p>
      <w:pPr>
        <w:spacing w:line="560" w:lineRule="exact"/>
        <w:ind w:left="319" w:leftChars="152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3）与国内相关标准间的关系：该标准项目是否有相关的国家或行业标准，该标准项目与这些标准是什么关系，该标准项目在标准体系中的位置；</w:t>
      </w: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4）指出是否发现有知识产权的问题。</w:t>
      </w:r>
    </w:p>
    <w:p>
      <w:pPr>
        <w:spacing w:line="560" w:lineRule="exact"/>
        <w:ind w:left="319" w:leftChars="152" w:firstLine="320" w:firstLineChars="1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项目成本预算：主要包括总额、资金来源情况和成本构成等。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OWExMmEyODA5MTk2ZmYzZTk0ZDllZTc2YzUxMjUifQ=="/>
  </w:docVars>
  <w:rsids>
    <w:rsidRoot w:val="327A6D4B"/>
    <w:rsid w:val="327A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2024-03-07T07:19:00Z</dcterms:created>
  <dc:creator>Administrator</dc:creator>
  <cp:lastModifiedBy>Administrator</cp:lastModifiedBy>
  <dcterms:modified xsi:type="dcterms:W3CDTF">2024-03-07T07:20:45Z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9A386638AB7347ABB703B24E61AC2E81_11</vt:lpwstr>
  </property>
</Properties>
</file>